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CF91" w14:textId="77777777" w:rsidR="00F81040" w:rsidRPr="00BF15EE" w:rsidRDefault="00000000">
      <w:pPr>
        <w:pStyle w:val="Body"/>
        <w:jc w:val="center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Littlehampton Players Operatic Society</w:t>
      </w:r>
    </w:p>
    <w:p w14:paraId="1EA89B76" w14:textId="77777777" w:rsidR="00F81040" w:rsidRPr="00BF15EE" w:rsidRDefault="00000000">
      <w:pPr>
        <w:pStyle w:val="Body"/>
        <w:jc w:val="center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Disciplinary &amp; Grievance Policy</w:t>
      </w:r>
    </w:p>
    <w:p w14:paraId="4560B0AB" w14:textId="12338BA6" w:rsidR="00F81040" w:rsidRPr="00BF15EE" w:rsidRDefault="00000000">
      <w:pPr>
        <w:pStyle w:val="Body"/>
        <w:jc w:val="center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 xml:space="preserve">Reviewed </w:t>
      </w:r>
      <w:r w:rsidR="00E95092">
        <w:rPr>
          <w:rFonts w:ascii="Calibri" w:hAnsi="Calibri" w:cs="Calibri"/>
          <w:b/>
          <w:bCs/>
        </w:rPr>
        <w:t>17</w:t>
      </w:r>
      <w:r w:rsidRPr="00BF15EE">
        <w:rPr>
          <w:rFonts w:ascii="Calibri" w:hAnsi="Calibri" w:cs="Calibri"/>
          <w:b/>
          <w:bCs/>
        </w:rPr>
        <w:t xml:space="preserve"> August 202</w:t>
      </w:r>
      <w:r w:rsidR="00E95092">
        <w:rPr>
          <w:rFonts w:ascii="Calibri" w:hAnsi="Calibri" w:cs="Calibri"/>
          <w:b/>
          <w:bCs/>
        </w:rPr>
        <w:t>5</w:t>
      </w:r>
    </w:p>
    <w:p w14:paraId="29666FCE" w14:textId="77777777" w:rsidR="00F81040" w:rsidRPr="00BF15EE" w:rsidRDefault="00F81040">
      <w:pPr>
        <w:pStyle w:val="Body"/>
        <w:jc w:val="center"/>
        <w:rPr>
          <w:rFonts w:ascii="Calibri" w:eastAsia="Arial" w:hAnsi="Calibri" w:cs="Calibri"/>
          <w:b/>
          <w:bCs/>
        </w:rPr>
      </w:pPr>
    </w:p>
    <w:p w14:paraId="59DC09F3" w14:textId="0381E7ED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Littlehampton Players Operatic Society</w:t>
      </w:r>
      <w:r w:rsidR="004B2094" w:rsidRPr="00BF15EE">
        <w:rPr>
          <w:rFonts w:ascii="Calibri" w:hAnsi="Calibri" w:cs="Calibri"/>
        </w:rPr>
        <w:t xml:space="preserve"> (LPOS)</w:t>
      </w:r>
      <w:r w:rsidRPr="00BF15EE">
        <w:rPr>
          <w:rFonts w:ascii="Calibri" w:hAnsi="Calibri" w:cs="Calibri"/>
        </w:rPr>
        <w:t xml:space="preserve"> is a registered charity (276416) and stand</w:t>
      </w:r>
      <w:r w:rsidR="004B2094" w:rsidRPr="00BF15EE">
        <w:rPr>
          <w:rFonts w:ascii="Calibri" w:hAnsi="Calibri" w:cs="Calibri"/>
        </w:rPr>
        <w:t>s</w:t>
      </w:r>
      <w:r w:rsidRPr="00BF15EE">
        <w:rPr>
          <w:rFonts w:ascii="Calibri" w:hAnsi="Calibri" w:cs="Calibri"/>
        </w:rPr>
        <w:t xml:space="preserve"> for values of Equal Opportunities, Diversity</w:t>
      </w:r>
      <w:r w:rsidR="004B2094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Inclusion (see our ED&amp;I Policy for further detail</w:t>
      </w:r>
      <w:r w:rsidR="004B2094" w:rsidRPr="00BF15EE">
        <w:rPr>
          <w:rFonts w:ascii="Calibri" w:hAnsi="Calibri" w:cs="Calibri"/>
        </w:rPr>
        <w:t>s</w:t>
      </w:r>
      <w:r w:rsidRPr="00BF15EE">
        <w:rPr>
          <w:rFonts w:ascii="Calibri" w:hAnsi="Calibri" w:cs="Calibri"/>
        </w:rPr>
        <w:t xml:space="preserve">). In the instance that any member </w:t>
      </w:r>
      <w:r w:rsidR="004B2094" w:rsidRPr="00BF15EE">
        <w:rPr>
          <w:rFonts w:ascii="Calibri" w:hAnsi="Calibri" w:cs="Calibri"/>
        </w:rPr>
        <w:t xml:space="preserve">of the society </w:t>
      </w:r>
      <w:r w:rsidRPr="00BF15EE">
        <w:rPr>
          <w:rFonts w:ascii="Calibri" w:hAnsi="Calibri" w:cs="Calibri"/>
        </w:rPr>
        <w:t xml:space="preserve">acts in a way that does not comply with </w:t>
      </w:r>
      <w:r w:rsidR="00381E27" w:rsidRPr="00BF15EE">
        <w:rPr>
          <w:rFonts w:ascii="Calibri" w:hAnsi="Calibri" w:cs="Calibri"/>
        </w:rPr>
        <w:t>our</w:t>
      </w:r>
      <w:r w:rsidRPr="00BF15EE">
        <w:rPr>
          <w:rFonts w:ascii="Calibri" w:hAnsi="Calibri" w:cs="Calibri"/>
        </w:rPr>
        <w:t xml:space="preserve"> expected values, the individual(s) involved will be entered into our disciplinary and grievance process</w:t>
      </w:r>
      <w:r w:rsidR="00381E27" w:rsidRPr="00BF15EE">
        <w:rPr>
          <w:rFonts w:ascii="Calibri" w:hAnsi="Calibri" w:cs="Calibri"/>
        </w:rPr>
        <w:t xml:space="preserve"> as described below</w:t>
      </w:r>
      <w:r w:rsidRPr="00BF15EE">
        <w:rPr>
          <w:rFonts w:ascii="Calibri" w:hAnsi="Calibri" w:cs="Calibri"/>
        </w:rPr>
        <w:t>.</w:t>
      </w:r>
    </w:p>
    <w:p w14:paraId="6976A07E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06F7ED39" w14:textId="77777777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For the avoidance of doubt:</w:t>
      </w:r>
    </w:p>
    <w:p w14:paraId="70546950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71591872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  <w:lang w:val="it-IT"/>
        </w:rPr>
        <w:t>Misconduct</w:t>
      </w:r>
    </w:p>
    <w:p w14:paraId="0ED848F0" w14:textId="77777777" w:rsidR="00381E27" w:rsidRPr="00BF15EE" w:rsidRDefault="00000000">
      <w:pPr>
        <w:pStyle w:val="Body"/>
        <w:rPr>
          <w:rFonts w:ascii="Calibri" w:hAnsi="Calibri" w:cs="Calibri"/>
        </w:rPr>
      </w:pPr>
      <w:r w:rsidRPr="00BF15EE">
        <w:rPr>
          <w:rFonts w:ascii="Calibri" w:hAnsi="Calibri" w:cs="Calibri"/>
        </w:rPr>
        <w:t xml:space="preserve">This is conduct which is sufficiently serious that it requires disciplinary action. </w:t>
      </w:r>
      <w:proofErr w:type="gramStart"/>
      <w:r w:rsidRPr="00BF15EE">
        <w:rPr>
          <w:rFonts w:ascii="Calibri" w:hAnsi="Calibri" w:cs="Calibri"/>
        </w:rPr>
        <w:t>In order to</w:t>
      </w:r>
      <w:proofErr w:type="gramEnd"/>
      <w:r w:rsidRPr="00BF15EE">
        <w:rPr>
          <w:rFonts w:ascii="Calibri" w:hAnsi="Calibri" w:cs="Calibri"/>
        </w:rPr>
        <w:t xml:space="preserve"> warrant dismissal</w:t>
      </w:r>
      <w:r w:rsidR="00381E27" w:rsidRPr="00BF15EE">
        <w:rPr>
          <w:rFonts w:ascii="Calibri" w:hAnsi="Calibri" w:cs="Calibri"/>
        </w:rPr>
        <w:t xml:space="preserve"> from the society</w:t>
      </w:r>
      <w:r w:rsidRPr="00BF15EE">
        <w:rPr>
          <w:rFonts w:ascii="Calibri" w:hAnsi="Calibri" w:cs="Calibri"/>
        </w:rPr>
        <w:t xml:space="preserve">, misconduct must be extremely </w:t>
      </w:r>
      <w:proofErr w:type="gramStart"/>
      <w:r w:rsidRPr="00BF15EE">
        <w:rPr>
          <w:rFonts w:ascii="Calibri" w:hAnsi="Calibri" w:cs="Calibri"/>
        </w:rPr>
        <w:t>serious, or</w:t>
      </w:r>
      <w:proofErr w:type="gramEnd"/>
      <w:r w:rsidRPr="00BF15EE">
        <w:rPr>
          <w:rFonts w:ascii="Calibri" w:hAnsi="Calibri" w:cs="Calibri"/>
        </w:rPr>
        <w:t xml:space="preserve"> repeated on more than one occasion. </w:t>
      </w:r>
    </w:p>
    <w:p w14:paraId="41C95846" w14:textId="77777777" w:rsidR="00381E27" w:rsidRPr="00BF15EE" w:rsidRDefault="00381E27">
      <w:pPr>
        <w:pStyle w:val="Body"/>
        <w:rPr>
          <w:rFonts w:ascii="Calibri" w:hAnsi="Calibri" w:cs="Calibri"/>
        </w:rPr>
      </w:pPr>
    </w:p>
    <w:p w14:paraId="020BCD52" w14:textId="6340E264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Misconduct can include (and is not limited to) persistent lateness, unauthorised absence</w:t>
      </w:r>
      <w:r w:rsidR="00381E27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failure to meet agreed expectations of working standards, smoking in non-smoking areas, </w:t>
      </w:r>
      <w:r w:rsidR="00381E27" w:rsidRPr="00BF15EE">
        <w:rPr>
          <w:rFonts w:ascii="Calibri" w:hAnsi="Calibri" w:cs="Calibri"/>
        </w:rPr>
        <w:t xml:space="preserve">and </w:t>
      </w:r>
      <w:r w:rsidRPr="00BF15EE">
        <w:rPr>
          <w:rFonts w:ascii="Calibri" w:hAnsi="Calibri" w:cs="Calibri"/>
        </w:rPr>
        <w:t>misuse of props, costume</w:t>
      </w:r>
      <w:r w:rsidR="00381E27" w:rsidRPr="00BF15EE">
        <w:rPr>
          <w:rFonts w:ascii="Calibri" w:hAnsi="Calibri" w:cs="Calibri"/>
        </w:rPr>
        <w:t>s,</w:t>
      </w:r>
      <w:r w:rsidRPr="00BF15EE">
        <w:rPr>
          <w:rFonts w:ascii="Calibri" w:hAnsi="Calibri" w:cs="Calibri"/>
        </w:rPr>
        <w:t xml:space="preserve"> or scenery.</w:t>
      </w:r>
    </w:p>
    <w:p w14:paraId="19D078AA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6DB1DC3D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Gross misconduct</w:t>
      </w:r>
    </w:p>
    <w:p w14:paraId="0BBEF0C4" w14:textId="699F3F8F" w:rsidR="00381E27" w:rsidRPr="00BF15EE" w:rsidRDefault="00000000">
      <w:pPr>
        <w:pStyle w:val="Body"/>
        <w:rPr>
          <w:rFonts w:ascii="Calibri" w:hAnsi="Calibri" w:cs="Calibri"/>
        </w:rPr>
      </w:pPr>
      <w:r w:rsidRPr="00BF15EE">
        <w:rPr>
          <w:rFonts w:ascii="Calibri" w:hAnsi="Calibri" w:cs="Calibri"/>
        </w:rPr>
        <w:t>This is the term used for serious misconduct, which may lead to instant dismissal (that is, summary dismissal)</w:t>
      </w:r>
      <w:r w:rsidR="00381E27" w:rsidRPr="00BF15EE">
        <w:rPr>
          <w:rFonts w:ascii="Calibri" w:hAnsi="Calibri" w:cs="Calibri"/>
        </w:rPr>
        <w:t xml:space="preserve"> from the society</w:t>
      </w:r>
      <w:r w:rsidRPr="00BF15EE">
        <w:rPr>
          <w:rFonts w:ascii="Calibri" w:hAnsi="Calibri" w:cs="Calibri"/>
        </w:rPr>
        <w:t xml:space="preserve">. </w:t>
      </w:r>
    </w:p>
    <w:p w14:paraId="79F92A93" w14:textId="77777777" w:rsidR="00381E27" w:rsidRPr="00BF15EE" w:rsidRDefault="00381E27">
      <w:pPr>
        <w:pStyle w:val="Body"/>
        <w:rPr>
          <w:rFonts w:ascii="Calibri" w:hAnsi="Calibri" w:cs="Calibri"/>
        </w:rPr>
      </w:pPr>
    </w:p>
    <w:p w14:paraId="5B5AEFC4" w14:textId="66E34E53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Acts that constitute gross misconduct are those resulting in a serious breach of terms of </w:t>
      </w:r>
      <w:proofErr w:type="gramStart"/>
      <w:r w:rsidRPr="00BF15EE">
        <w:rPr>
          <w:rFonts w:ascii="Calibri" w:hAnsi="Calibri" w:cs="Calibri"/>
        </w:rPr>
        <w:t>membership</w:t>
      </w:r>
      <w:r w:rsidR="00381E27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</w:t>
      </w:r>
      <w:proofErr w:type="gramEnd"/>
      <w:r w:rsidRPr="00BF15EE">
        <w:rPr>
          <w:rFonts w:ascii="Calibri" w:hAnsi="Calibri" w:cs="Calibri"/>
        </w:rPr>
        <w:t xml:space="preserve"> will be for LPOS’ committee to review under each individual set of circumstances. They might include (and are not limited to) the following:</w:t>
      </w:r>
    </w:p>
    <w:p w14:paraId="4AAD29B7" w14:textId="77777777" w:rsidR="00F81040" w:rsidRPr="00BF15EE" w:rsidRDefault="00F81040">
      <w:pPr>
        <w:pStyle w:val="Body"/>
        <w:spacing w:line="232" w:lineRule="exact"/>
        <w:ind w:left="1060"/>
        <w:rPr>
          <w:rFonts w:ascii="Calibri" w:eastAsia="Times New Roman" w:hAnsi="Calibri" w:cs="Calibri"/>
          <w:u w:color="000000"/>
        </w:rPr>
      </w:pPr>
    </w:p>
    <w:p w14:paraId="70262074" w14:textId="347D3934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Theft, fraud</w:t>
      </w:r>
      <w:r w:rsidR="00C8526C" w:rsidRPr="00BF15EE">
        <w:rPr>
          <w:rFonts w:ascii="Calibri" w:hAnsi="Calibri" w:cs="Calibri"/>
          <w:u w:color="000000"/>
        </w:rPr>
        <w:t>,</w:t>
      </w:r>
      <w:r w:rsidRPr="00BF15EE">
        <w:rPr>
          <w:rFonts w:ascii="Calibri" w:hAnsi="Calibri" w:cs="Calibri"/>
          <w:u w:color="000000"/>
        </w:rPr>
        <w:t xml:space="preserve"> or deliberate falsification of records.</w:t>
      </w:r>
    </w:p>
    <w:p w14:paraId="01B7ED38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08142030" w14:textId="77777777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Physical violence.</w:t>
      </w:r>
    </w:p>
    <w:p w14:paraId="072396AD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7B582F05" w14:textId="43085F33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Serious bullying, harassment</w:t>
      </w:r>
      <w:r w:rsidR="00C8526C" w:rsidRPr="00BF15EE">
        <w:rPr>
          <w:rFonts w:ascii="Calibri" w:hAnsi="Calibri" w:cs="Calibri"/>
          <w:u w:color="000000"/>
        </w:rPr>
        <w:t>,</w:t>
      </w:r>
      <w:r w:rsidRPr="00BF15EE">
        <w:rPr>
          <w:rFonts w:ascii="Calibri" w:hAnsi="Calibri" w:cs="Calibri"/>
          <w:u w:color="000000"/>
        </w:rPr>
        <w:t xml:space="preserve"> or discrimination.</w:t>
      </w:r>
    </w:p>
    <w:p w14:paraId="0110CF01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7CE2136E" w14:textId="77777777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Sexual harassment or assault.</w:t>
      </w:r>
    </w:p>
    <w:p w14:paraId="08105A67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7668CE99" w14:textId="77777777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Serious insubordination.</w:t>
      </w:r>
    </w:p>
    <w:p w14:paraId="2DCAB1BA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54110702" w14:textId="77777777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Serious incapability brought about by alcohol or illegal drugs.</w:t>
      </w:r>
    </w:p>
    <w:p w14:paraId="2C46BAC9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30786971" w14:textId="77777777" w:rsidR="00F81040" w:rsidRPr="00BF15EE" w:rsidRDefault="00000000">
      <w:pPr>
        <w:pStyle w:val="Body"/>
        <w:numPr>
          <w:ilvl w:val="0"/>
          <w:numId w:val="2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Endangering others through deliberate breach of Health &amp; Safety procedures.</w:t>
      </w:r>
    </w:p>
    <w:p w14:paraId="1671E547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2A758460" w14:textId="2FE44BC5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In the case of gross misconduct, </w:t>
      </w:r>
      <w:r w:rsidR="00C8526C" w:rsidRPr="00BF15EE">
        <w:rPr>
          <w:rFonts w:ascii="Calibri" w:hAnsi="Calibri" w:cs="Calibri"/>
        </w:rPr>
        <w:t>t</w:t>
      </w:r>
      <w:r w:rsidRPr="00BF15EE">
        <w:rPr>
          <w:rFonts w:ascii="Calibri" w:hAnsi="Calibri" w:cs="Calibri"/>
        </w:rPr>
        <w:t xml:space="preserve">he </w:t>
      </w:r>
      <w:r w:rsidR="00C8526C" w:rsidRPr="00BF15EE">
        <w:rPr>
          <w:rFonts w:ascii="Calibri" w:hAnsi="Calibri" w:cs="Calibri"/>
        </w:rPr>
        <w:t>c</w:t>
      </w:r>
      <w:r w:rsidRPr="00BF15EE">
        <w:rPr>
          <w:rFonts w:ascii="Calibri" w:hAnsi="Calibri" w:cs="Calibri"/>
        </w:rPr>
        <w:t>ommittee of LPOS shall suspend the person(s) involved and carry out an investigation before follow</w:t>
      </w:r>
      <w:r w:rsidR="00C8526C" w:rsidRPr="00BF15EE">
        <w:rPr>
          <w:rFonts w:ascii="Calibri" w:hAnsi="Calibri" w:cs="Calibri"/>
        </w:rPr>
        <w:t>ing</w:t>
      </w:r>
      <w:r w:rsidRPr="00BF15EE">
        <w:rPr>
          <w:rFonts w:ascii="Calibri" w:hAnsi="Calibri" w:cs="Calibri"/>
        </w:rPr>
        <w:t xml:space="preserve"> disciplinary processes as detailed below.</w:t>
      </w:r>
      <w:r w:rsidRPr="00BF15EE">
        <w:rPr>
          <w:rFonts w:ascii="Calibri" w:eastAsia="Arial" w:hAnsi="Calibri" w:cs="Calibri"/>
        </w:rPr>
        <w:br/>
      </w:r>
      <w:r w:rsidRPr="00BF15EE">
        <w:rPr>
          <w:rFonts w:ascii="Calibri" w:eastAsia="Arial" w:hAnsi="Calibri" w:cs="Calibri"/>
        </w:rPr>
        <w:br/>
      </w:r>
      <w:r w:rsidRPr="00BF15EE">
        <w:rPr>
          <w:rFonts w:ascii="Calibri" w:hAnsi="Calibri" w:cs="Calibri"/>
        </w:rPr>
        <w:t>Should any member determine that they wish to make a complaint in regards to any member, creative</w:t>
      </w:r>
      <w:r w:rsidR="00C8526C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or person working with LPOS, they should raise a complain</w:t>
      </w:r>
      <w:r w:rsidR="00C8526C" w:rsidRPr="00BF15EE">
        <w:rPr>
          <w:rFonts w:ascii="Calibri" w:hAnsi="Calibri" w:cs="Calibri"/>
        </w:rPr>
        <w:t>t</w:t>
      </w:r>
      <w:r w:rsidRPr="00BF15EE">
        <w:rPr>
          <w:rFonts w:ascii="Calibri" w:hAnsi="Calibri" w:cs="Calibri"/>
        </w:rPr>
        <w:t xml:space="preserve"> with the Chair of LPOS.</w:t>
      </w:r>
      <w:r w:rsidR="006E0E0C">
        <w:rPr>
          <w:rFonts w:ascii="Calibri" w:hAnsi="Calibri" w:cs="Calibri"/>
        </w:rPr>
        <w:t xml:space="preserve"> If the complaint regards the Chair of LPOS, the matter should be raised to the Vice Chair or a suitably nominated deputy agreeable to all parties, and as such mention of ‘the Chair’ within the investigation steps is to be replaced with said person.</w:t>
      </w:r>
      <w:r w:rsidRPr="00BF15EE">
        <w:rPr>
          <w:rFonts w:ascii="Calibri" w:eastAsia="Arial" w:hAnsi="Calibri" w:cs="Calibri"/>
        </w:rPr>
        <w:br/>
      </w:r>
    </w:p>
    <w:p w14:paraId="40C12B2D" w14:textId="45F64803" w:rsidR="00484173" w:rsidRPr="00E82756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The Chair may take the matter up with the person concerned if requested to do so by the complainant. Such informal discussions do not necessarily need to be officially recorded</w:t>
      </w:r>
      <w:r w:rsidR="00484173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it will be made clear that they do not form part of the official grievance procedure</w:t>
      </w:r>
      <w:r w:rsidR="00E82756">
        <w:rPr>
          <w:rFonts w:ascii="Calibri" w:hAnsi="Calibri" w:cs="Calibri"/>
        </w:rPr>
        <w:t>.</w:t>
      </w:r>
    </w:p>
    <w:p w14:paraId="6290C517" w14:textId="77777777" w:rsidR="00484173" w:rsidRPr="00BF15EE" w:rsidRDefault="00484173">
      <w:pPr>
        <w:pStyle w:val="Body"/>
        <w:rPr>
          <w:rFonts w:ascii="Calibri" w:hAnsi="Calibri" w:cs="Calibri"/>
          <w:b/>
          <w:bCs/>
        </w:rPr>
      </w:pPr>
    </w:p>
    <w:p w14:paraId="1FECE497" w14:textId="77777777" w:rsidR="00484173" w:rsidRPr="00BF15EE" w:rsidRDefault="00484173">
      <w:pPr>
        <w:pStyle w:val="Body"/>
        <w:rPr>
          <w:rFonts w:ascii="Calibri" w:hAnsi="Calibri" w:cs="Calibri"/>
          <w:b/>
          <w:bCs/>
        </w:rPr>
      </w:pPr>
    </w:p>
    <w:p w14:paraId="2E51A09D" w14:textId="314CD180" w:rsidR="009C69CF" w:rsidRPr="00BF15EE" w:rsidRDefault="009C69CF" w:rsidP="009C69CF">
      <w:pPr>
        <w:jc w:val="center"/>
        <w:rPr>
          <w:rFonts w:ascii="Calibri" w:hAnsi="Calibri" w:cs="Calibri"/>
          <w:sz w:val="22"/>
          <w:szCs w:val="22"/>
        </w:rPr>
      </w:pPr>
      <w:r w:rsidRPr="00BF15EE">
        <w:rPr>
          <w:rFonts w:ascii="Calibri" w:hAnsi="Calibri" w:cs="Calibri"/>
          <w:sz w:val="22"/>
          <w:szCs w:val="22"/>
        </w:rPr>
        <w:t>(LPOS Disciplinary &amp; Grievance Procedure: August 202</w:t>
      </w:r>
      <w:r w:rsidR="00E95092">
        <w:rPr>
          <w:rFonts w:ascii="Calibri" w:hAnsi="Calibri" w:cs="Calibri"/>
          <w:sz w:val="22"/>
          <w:szCs w:val="22"/>
        </w:rPr>
        <w:t>5</w:t>
      </w:r>
      <w:r w:rsidRPr="00BF15EE">
        <w:rPr>
          <w:rFonts w:ascii="Calibri" w:hAnsi="Calibri" w:cs="Calibri"/>
          <w:sz w:val="22"/>
          <w:szCs w:val="22"/>
        </w:rPr>
        <w:t>)</w:t>
      </w:r>
    </w:p>
    <w:p w14:paraId="0C8B8346" w14:textId="77777777" w:rsidR="009C69CF" w:rsidRPr="00BF15EE" w:rsidRDefault="009C69CF" w:rsidP="009C69CF">
      <w:pPr>
        <w:jc w:val="center"/>
        <w:rPr>
          <w:rFonts w:ascii="Calibri" w:hAnsi="Calibri" w:cs="Calibri"/>
          <w:sz w:val="22"/>
          <w:szCs w:val="22"/>
        </w:rPr>
      </w:pPr>
      <w:r w:rsidRPr="00BF15EE">
        <w:rPr>
          <w:rFonts w:ascii="Calibri" w:hAnsi="Calibri" w:cs="Calibri"/>
          <w:sz w:val="22"/>
          <w:szCs w:val="22"/>
        </w:rPr>
        <w:t>Page 1</w:t>
      </w:r>
    </w:p>
    <w:p w14:paraId="4A1E2F7E" w14:textId="77777777" w:rsidR="00484173" w:rsidRPr="00BF15EE" w:rsidRDefault="00484173">
      <w:pPr>
        <w:pStyle w:val="Body"/>
        <w:rPr>
          <w:rFonts w:ascii="Calibri" w:hAnsi="Calibri" w:cs="Calibri"/>
          <w:b/>
          <w:bCs/>
        </w:rPr>
      </w:pPr>
    </w:p>
    <w:p w14:paraId="5E4D827A" w14:textId="5E0A3EF5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Next Steps</w:t>
      </w:r>
      <w:r w:rsidRPr="00BF15EE">
        <w:rPr>
          <w:rFonts w:ascii="Calibri" w:eastAsia="Arial" w:hAnsi="Calibri" w:cs="Calibri"/>
          <w:b/>
          <w:bCs/>
        </w:rPr>
        <w:br/>
      </w:r>
    </w:p>
    <w:p w14:paraId="5E9372B6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  <w:lang w:val="de-DE"/>
        </w:rPr>
        <w:t>STAGE ONE:</w:t>
      </w:r>
    </w:p>
    <w:p w14:paraId="59A49BA3" w14:textId="351A533D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The grievance should be raised with the Chair. This should be done in writing. The Chair will convene meetings with relevant parties to </w:t>
      </w:r>
      <w:proofErr w:type="gramStart"/>
      <w:r w:rsidRPr="00BF15EE">
        <w:rPr>
          <w:rFonts w:ascii="Calibri" w:hAnsi="Calibri" w:cs="Calibri"/>
        </w:rPr>
        <w:t>look into</w:t>
      </w:r>
      <w:proofErr w:type="gramEnd"/>
      <w:r w:rsidRPr="00BF15EE">
        <w:rPr>
          <w:rFonts w:ascii="Calibri" w:hAnsi="Calibri" w:cs="Calibri"/>
        </w:rPr>
        <w:t xml:space="preserve"> the grievance (wherever</w:t>
      </w:r>
      <w:r w:rsidRPr="00BF15EE">
        <w:rPr>
          <w:rFonts w:ascii="Calibri" w:hAnsi="Calibri" w:cs="Calibri"/>
          <w:lang w:val="fr-FR"/>
        </w:rPr>
        <w:t xml:space="preserve"> possible</w:t>
      </w:r>
      <w:r w:rsidRPr="00BF15EE">
        <w:rPr>
          <w:rFonts w:ascii="Calibri" w:hAnsi="Calibri" w:cs="Calibri"/>
        </w:rPr>
        <w:t xml:space="preserve">) within </w:t>
      </w:r>
      <w:r w:rsidR="009C69CF" w:rsidRPr="00BF15EE">
        <w:rPr>
          <w:rFonts w:ascii="Calibri" w:hAnsi="Calibri" w:cs="Calibri"/>
        </w:rPr>
        <w:t>ten</w:t>
      </w:r>
      <w:r w:rsidRPr="00BF15EE">
        <w:rPr>
          <w:rFonts w:ascii="Calibri" w:hAnsi="Calibri" w:cs="Calibri"/>
        </w:rPr>
        <w:t xml:space="preserve"> working days of receiving the request. The Chair alone makes the decision</w:t>
      </w:r>
      <w:r w:rsidR="009C69CF" w:rsidRPr="00BF15EE">
        <w:rPr>
          <w:rFonts w:ascii="Calibri" w:hAnsi="Calibri" w:cs="Calibri"/>
        </w:rPr>
        <w:t xml:space="preserve"> about how to </w:t>
      </w:r>
      <w:proofErr w:type="gramStart"/>
      <w:r w:rsidR="009C69CF" w:rsidRPr="00BF15EE">
        <w:rPr>
          <w:rFonts w:ascii="Calibri" w:hAnsi="Calibri" w:cs="Calibri"/>
        </w:rPr>
        <w:t>proceed</w:t>
      </w:r>
      <w:r w:rsidRPr="00BF15EE">
        <w:rPr>
          <w:rFonts w:ascii="Calibri" w:hAnsi="Calibri" w:cs="Calibri"/>
        </w:rPr>
        <w:t>, but</w:t>
      </w:r>
      <w:proofErr w:type="gramEnd"/>
      <w:r w:rsidRPr="00BF15EE">
        <w:rPr>
          <w:rFonts w:ascii="Calibri" w:hAnsi="Calibri" w:cs="Calibri"/>
        </w:rPr>
        <w:t xml:space="preserve"> may consult with the rest of the committee before any decision is made. If the situation is potentially a disciplinary one</w:t>
      </w:r>
      <w:r w:rsidR="009C69CF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the disciplinary procedure will be followed.</w:t>
      </w:r>
    </w:p>
    <w:p w14:paraId="1AF3AF28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11935D70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  <w:lang w:val="de-DE"/>
        </w:rPr>
        <w:t>STAGE TWO:</w:t>
      </w:r>
    </w:p>
    <w:p w14:paraId="5D74453D" w14:textId="6EF27E94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If the grievance is still not resolved to the satisfaction of the </w:t>
      </w:r>
      <w:proofErr w:type="gramStart"/>
      <w:r w:rsidRPr="00BF15EE">
        <w:rPr>
          <w:rFonts w:ascii="Calibri" w:hAnsi="Calibri" w:cs="Calibri"/>
        </w:rPr>
        <w:t>complainant</w:t>
      </w:r>
      <w:proofErr w:type="gramEnd"/>
      <w:r w:rsidRPr="00BF15EE">
        <w:rPr>
          <w:rFonts w:ascii="Calibri" w:hAnsi="Calibri" w:cs="Calibri"/>
        </w:rPr>
        <w:t xml:space="preserve"> s</w:t>
      </w:r>
      <w:r w:rsidR="009C69CF" w:rsidRPr="00BF15EE">
        <w:rPr>
          <w:rFonts w:ascii="Calibri" w:hAnsi="Calibri" w:cs="Calibri"/>
        </w:rPr>
        <w:t>he</w:t>
      </w:r>
      <w:r w:rsidRPr="00BF15EE">
        <w:rPr>
          <w:rFonts w:ascii="Calibri" w:hAnsi="Calibri" w:cs="Calibri"/>
        </w:rPr>
        <w:t xml:space="preserve">/he/they must make a written request to the Chair for stage two (the appeal stage of the grievance procedure.) At this point the committee </w:t>
      </w:r>
      <w:proofErr w:type="gramStart"/>
      <w:r w:rsidRPr="00BF15EE">
        <w:rPr>
          <w:rFonts w:ascii="Calibri" w:hAnsi="Calibri" w:cs="Calibri"/>
        </w:rPr>
        <w:t>as a whole shall</w:t>
      </w:r>
      <w:proofErr w:type="gramEnd"/>
      <w:r w:rsidRPr="00BF15EE">
        <w:rPr>
          <w:rFonts w:ascii="Calibri" w:hAnsi="Calibri" w:cs="Calibri"/>
        </w:rPr>
        <w:t xml:space="preserve"> convene a meeting to investigate the complaint.</w:t>
      </w:r>
    </w:p>
    <w:p w14:paraId="50910DCD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67CB46BD" w14:textId="58BE8C64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If the grievance is against the Chai</w:t>
      </w:r>
      <w:r w:rsidR="009C69CF" w:rsidRPr="00BF15EE">
        <w:rPr>
          <w:rFonts w:ascii="Calibri" w:hAnsi="Calibri" w:cs="Calibri"/>
          <w:b/>
          <w:bCs/>
        </w:rPr>
        <w:t>r</w:t>
      </w:r>
    </w:p>
    <w:p w14:paraId="7C65B59F" w14:textId="77777777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The complainant should speak to the society’s Secretary about how to propose a motion of censure or no confidence at a General Meeting of the society.</w:t>
      </w:r>
    </w:p>
    <w:p w14:paraId="64F5835B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39BD17CB" w14:textId="6CF68A53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LPOS will offer support through any complaint and record any formal stages of these procedures including agreed corrective actions and notes of any warnings given</w:t>
      </w:r>
      <w:r w:rsidR="009C69CF" w:rsidRPr="00BF15EE">
        <w:rPr>
          <w:rFonts w:ascii="Calibri" w:hAnsi="Calibri" w:cs="Calibri"/>
        </w:rPr>
        <w:t>, as well as</w:t>
      </w:r>
      <w:r w:rsidRPr="00BF15EE">
        <w:rPr>
          <w:rFonts w:ascii="Calibri" w:hAnsi="Calibri" w:cs="Calibri"/>
        </w:rPr>
        <w:t xml:space="preserve"> the period after which this warning will be disregarded</w:t>
      </w:r>
      <w:r w:rsidR="00E11F1B" w:rsidRPr="00BF15EE">
        <w:rPr>
          <w:rFonts w:ascii="Calibri" w:hAnsi="Calibri" w:cs="Calibri"/>
        </w:rPr>
        <w:t>. Each party will be furnished</w:t>
      </w:r>
      <w:r w:rsidRPr="00BF15EE">
        <w:rPr>
          <w:rFonts w:ascii="Calibri" w:hAnsi="Calibri" w:cs="Calibri"/>
        </w:rPr>
        <w:t xml:space="preserve"> with copies of these notes.</w:t>
      </w:r>
    </w:p>
    <w:p w14:paraId="2646A981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316DCFED" w14:textId="77777777" w:rsidR="00700176" w:rsidRPr="00BF15EE" w:rsidRDefault="00700176">
      <w:pPr>
        <w:pStyle w:val="Body"/>
        <w:rPr>
          <w:rFonts w:ascii="Calibri" w:hAnsi="Calibri" w:cs="Calibri"/>
          <w:b/>
          <w:bCs/>
        </w:rPr>
      </w:pPr>
    </w:p>
    <w:p w14:paraId="7FE17CC5" w14:textId="67AEA145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LPOS Disciplinary Actions</w:t>
      </w:r>
    </w:p>
    <w:p w14:paraId="087C99A4" w14:textId="77777777" w:rsidR="00F81040" w:rsidRPr="00BF15EE" w:rsidRDefault="00F81040">
      <w:pPr>
        <w:pStyle w:val="Body"/>
        <w:rPr>
          <w:rFonts w:ascii="Calibri" w:eastAsia="Arial" w:hAnsi="Calibri" w:cs="Calibri"/>
          <w:b/>
          <w:bCs/>
        </w:rPr>
      </w:pPr>
    </w:p>
    <w:p w14:paraId="2F1ED6A9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First Oral Warning:</w:t>
      </w:r>
    </w:p>
    <w:p w14:paraId="4D1DE012" w14:textId="5CCE743D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In the case of a minor infringement the person(s) may be given a formal oral warning. They shall be told of the reason(s) for the warning, that it is the first step in the disciplinary process</w:t>
      </w:r>
      <w:r w:rsidR="00700176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that they have the right of appeal.</w:t>
      </w:r>
    </w:p>
    <w:p w14:paraId="0E29E1BE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77C5E945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First Written Warning:</w:t>
      </w:r>
    </w:p>
    <w:p w14:paraId="7E93058E" w14:textId="28A6DF19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If the infringement is regarded as more serious, the person(s) may be given a formal written warning</w:t>
      </w:r>
      <w:r w:rsidR="00BC6207" w:rsidRPr="00BF15EE">
        <w:rPr>
          <w:rFonts w:ascii="Calibri" w:hAnsi="Calibri" w:cs="Calibri"/>
        </w:rPr>
        <w:t xml:space="preserve"> containing</w:t>
      </w:r>
      <w:r w:rsidRPr="00BF15EE">
        <w:rPr>
          <w:rFonts w:ascii="Calibri" w:hAnsi="Calibri" w:cs="Calibri"/>
        </w:rPr>
        <w:t xml:space="preserve"> the details of the complaint, the improvement required, the timescale allowed for this</w:t>
      </w:r>
      <w:r w:rsidR="00BC6207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the right of appeal. The warning should also state that a final written warning may be considered if the desired change doesn’t occur</w:t>
      </w:r>
      <w:r w:rsidR="00BC6207" w:rsidRPr="00BF15EE">
        <w:rPr>
          <w:rFonts w:ascii="Calibri" w:hAnsi="Calibri" w:cs="Calibri"/>
        </w:rPr>
        <w:t xml:space="preserve"> within the allowed timescale</w:t>
      </w:r>
      <w:r w:rsidRPr="00BF15EE">
        <w:rPr>
          <w:rFonts w:ascii="Calibri" w:hAnsi="Calibri" w:cs="Calibri"/>
        </w:rPr>
        <w:t>.</w:t>
      </w:r>
    </w:p>
    <w:p w14:paraId="694924C6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3614BA70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  <w:lang w:val="de-DE"/>
        </w:rPr>
        <w:t>Final Written Warning:</w:t>
      </w:r>
    </w:p>
    <w:p w14:paraId="544133DA" w14:textId="4927FDCE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Where there is failure to improve the </w:t>
      </w:r>
      <w:proofErr w:type="spellStart"/>
      <w:r w:rsidRPr="00BF15EE">
        <w:rPr>
          <w:rFonts w:ascii="Calibri" w:hAnsi="Calibri" w:cs="Calibri"/>
        </w:rPr>
        <w:t>behaviour</w:t>
      </w:r>
      <w:proofErr w:type="spellEnd"/>
      <w:r w:rsidRPr="00BF15EE">
        <w:rPr>
          <w:rFonts w:ascii="Calibri" w:hAnsi="Calibri" w:cs="Calibri"/>
        </w:rPr>
        <w:t xml:space="preserve"> outlined in the </w:t>
      </w:r>
      <w:r w:rsidR="00FB67F7" w:rsidRPr="00BF15EE">
        <w:rPr>
          <w:rFonts w:ascii="Calibri" w:hAnsi="Calibri" w:cs="Calibri"/>
        </w:rPr>
        <w:t>f</w:t>
      </w:r>
      <w:r w:rsidRPr="00BF15EE">
        <w:rPr>
          <w:rFonts w:ascii="Calibri" w:hAnsi="Calibri" w:cs="Calibri"/>
        </w:rPr>
        <w:t xml:space="preserve">irst </w:t>
      </w:r>
      <w:r w:rsidR="00FB67F7" w:rsidRPr="00BF15EE">
        <w:rPr>
          <w:rFonts w:ascii="Calibri" w:hAnsi="Calibri" w:cs="Calibri"/>
        </w:rPr>
        <w:t>w</w:t>
      </w:r>
      <w:r w:rsidRPr="00BF15EE">
        <w:rPr>
          <w:rFonts w:ascii="Calibri" w:hAnsi="Calibri" w:cs="Calibri"/>
        </w:rPr>
        <w:t xml:space="preserve">ritten </w:t>
      </w:r>
      <w:r w:rsidR="00FB67F7" w:rsidRPr="00BF15EE">
        <w:rPr>
          <w:rFonts w:ascii="Calibri" w:hAnsi="Calibri" w:cs="Calibri"/>
        </w:rPr>
        <w:t>w</w:t>
      </w:r>
      <w:r w:rsidRPr="00BF15EE">
        <w:rPr>
          <w:rFonts w:ascii="Calibri" w:hAnsi="Calibri" w:cs="Calibri"/>
        </w:rPr>
        <w:t>arning, or an infringement which is considered sufficiently serious, the person(s) may be given a final written warning. This shall include details of the offence and that failure to improve may result in dismissal</w:t>
      </w:r>
      <w:r w:rsidR="00800E26" w:rsidRPr="00BF15EE">
        <w:rPr>
          <w:rFonts w:ascii="Calibri" w:hAnsi="Calibri" w:cs="Calibri"/>
        </w:rPr>
        <w:t>, as well as detailing</w:t>
      </w:r>
      <w:r w:rsidRPr="00BF15EE">
        <w:rPr>
          <w:rFonts w:ascii="Calibri" w:hAnsi="Calibri" w:cs="Calibri"/>
        </w:rPr>
        <w:t xml:space="preserve"> the right of appeal.</w:t>
      </w:r>
    </w:p>
    <w:p w14:paraId="646F11E0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140DBCDB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Dismissal or other sanction</w:t>
      </w:r>
    </w:p>
    <w:p w14:paraId="6E12E869" w14:textId="07C09CE2" w:rsidR="00F81040" w:rsidRPr="00BF15EE" w:rsidRDefault="00000000">
      <w:pPr>
        <w:pStyle w:val="Body"/>
        <w:rPr>
          <w:rFonts w:ascii="Calibri" w:hAnsi="Calibri" w:cs="Calibri"/>
        </w:rPr>
      </w:pPr>
      <w:r w:rsidRPr="00BF15EE">
        <w:rPr>
          <w:rFonts w:ascii="Calibri" w:hAnsi="Calibri" w:cs="Calibri"/>
        </w:rPr>
        <w:t xml:space="preserve">If the </w:t>
      </w:r>
      <w:proofErr w:type="spellStart"/>
      <w:r w:rsidRPr="00BF15EE">
        <w:rPr>
          <w:rFonts w:ascii="Calibri" w:hAnsi="Calibri" w:cs="Calibri"/>
        </w:rPr>
        <w:t>behaviour</w:t>
      </w:r>
      <w:proofErr w:type="spellEnd"/>
      <w:r w:rsidRPr="00BF15EE">
        <w:rPr>
          <w:rFonts w:ascii="Calibri" w:hAnsi="Calibri" w:cs="Calibri"/>
        </w:rPr>
        <w:t xml:space="preserve"> remains unchanged then the sanction imposed may include suspension, demotion, loss of seniority</w:t>
      </w:r>
      <w:r w:rsidR="00C27FED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or dismissal.</w:t>
      </w:r>
    </w:p>
    <w:p w14:paraId="2E2B96AE" w14:textId="77777777" w:rsidR="00800E26" w:rsidRDefault="00800E26">
      <w:pPr>
        <w:pStyle w:val="Body"/>
        <w:rPr>
          <w:rFonts w:ascii="Calibri" w:eastAsia="Arial" w:hAnsi="Calibri" w:cs="Calibri"/>
        </w:rPr>
      </w:pPr>
    </w:p>
    <w:p w14:paraId="429FCBD0" w14:textId="674537FE" w:rsidR="00800E26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The decision to dismiss shall be taken by the Officers of </w:t>
      </w:r>
      <w:r w:rsidR="00C27FED" w:rsidRPr="00BF15EE">
        <w:rPr>
          <w:rFonts w:ascii="Calibri" w:hAnsi="Calibri" w:cs="Calibri"/>
        </w:rPr>
        <w:t>t</w:t>
      </w:r>
      <w:r w:rsidRPr="00BF15EE">
        <w:rPr>
          <w:rFonts w:ascii="Calibri" w:hAnsi="Calibri" w:cs="Calibri"/>
        </w:rPr>
        <w:t>he Society (</w:t>
      </w:r>
      <w:r w:rsidR="00C27FED" w:rsidRPr="00BF15EE">
        <w:rPr>
          <w:rFonts w:ascii="Calibri" w:hAnsi="Calibri" w:cs="Calibri"/>
        </w:rPr>
        <w:t>t</w:t>
      </w:r>
      <w:r w:rsidRPr="00BF15EE">
        <w:rPr>
          <w:rFonts w:ascii="Calibri" w:hAnsi="Calibri" w:cs="Calibri"/>
        </w:rPr>
        <w:t>he</w:t>
      </w:r>
      <w:r w:rsidRPr="00BF15EE">
        <w:rPr>
          <w:rFonts w:ascii="Calibri" w:hAnsi="Calibri" w:cs="Calibri"/>
          <w:lang w:val="fr-FR"/>
        </w:rPr>
        <w:t xml:space="preserve"> Chai</w:t>
      </w:r>
      <w:r w:rsidRPr="00BF15EE">
        <w:rPr>
          <w:rFonts w:ascii="Calibri" w:hAnsi="Calibri" w:cs="Calibri"/>
        </w:rPr>
        <w:t>r, Vice Chair, Treasurer</w:t>
      </w:r>
      <w:r w:rsidR="00C27FED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Secretary</w:t>
      </w:r>
      <w:r w:rsidR="00C27FED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on a majority vote</w:t>
      </w:r>
      <w:r w:rsidR="00C27FED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with Chair casting </w:t>
      </w:r>
      <w:r w:rsidR="00C27FED" w:rsidRPr="00BF15EE">
        <w:rPr>
          <w:rFonts w:ascii="Calibri" w:hAnsi="Calibri" w:cs="Calibri"/>
        </w:rPr>
        <w:t xml:space="preserve">any </w:t>
      </w:r>
      <w:r w:rsidRPr="00BF15EE">
        <w:rPr>
          <w:rFonts w:ascii="Calibri" w:hAnsi="Calibri" w:cs="Calibri"/>
        </w:rPr>
        <w:t>deciding vote)</w:t>
      </w:r>
      <w:r w:rsidR="00A803A5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the person(s) shall be informed as soon as is reasonably practicable and told how to make an appeal. The decision to dismiss will be confirmed in writing</w:t>
      </w:r>
      <w:r w:rsidR="00A803A5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the person(s) have the right on request to have a written statement of the reasons for dismissal.</w:t>
      </w:r>
    </w:p>
    <w:p w14:paraId="6AEEC752" w14:textId="128C90A4" w:rsidR="00E82756" w:rsidRPr="00BF15EE" w:rsidRDefault="00E82756" w:rsidP="00E82756">
      <w:pPr>
        <w:jc w:val="center"/>
        <w:rPr>
          <w:rFonts w:ascii="Calibri" w:hAnsi="Calibri" w:cs="Calibri"/>
          <w:sz w:val="22"/>
          <w:szCs w:val="22"/>
        </w:rPr>
      </w:pPr>
      <w:r w:rsidRPr="00BF15EE">
        <w:rPr>
          <w:rFonts w:ascii="Calibri" w:hAnsi="Calibri" w:cs="Calibri"/>
          <w:sz w:val="22"/>
          <w:szCs w:val="22"/>
        </w:rPr>
        <w:t>(LPOS Disciplinary &amp; Grievance Procedure: August 202</w:t>
      </w:r>
      <w:r w:rsidR="00E95092">
        <w:rPr>
          <w:rFonts w:ascii="Calibri" w:hAnsi="Calibri" w:cs="Calibri"/>
          <w:sz w:val="22"/>
          <w:szCs w:val="22"/>
        </w:rPr>
        <w:t>5</w:t>
      </w:r>
      <w:r w:rsidRPr="00BF15EE">
        <w:rPr>
          <w:rFonts w:ascii="Calibri" w:hAnsi="Calibri" w:cs="Calibri"/>
          <w:sz w:val="22"/>
          <w:szCs w:val="22"/>
        </w:rPr>
        <w:t>)</w:t>
      </w:r>
    </w:p>
    <w:p w14:paraId="656177FE" w14:textId="77777777" w:rsidR="00E82756" w:rsidRPr="006E0E0C" w:rsidRDefault="00E82756" w:rsidP="00E82756">
      <w:pPr>
        <w:jc w:val="center"/>
        <w:rPr>
          <w:rFonts w:ascii="Calibri" w:hAnsi="Calibri" w:cs="Calibri"/>
          <w:sz w:val="22"/>
          <w:szCs w:val="22"/>
        </w:rPr>
      </w:pPr>
      <w:r w:rsidRPr="00BF15EE">
        <w:rPr>
          <w:rFonts w:ascii="Calibri" w:hAnsi="Calibri" w:cs="Calibri"/>
          <w:sz w:val="22"/>
          <w:szCs w:val="22"/>
        </w:rPr>
        <w:t>Page 2</w:t>
      </w:r>
    </w:p>
    <w:p w14:paraId="3BACB028" w14:textId="77777777" w:rsidR="00E82756" w:rsidRPr="00BF15EE" w:rsidRDefault="00E82756">
      <w:pPr>
        <w:pStyle w:val="Body"/>
        <w:rPr>
          <w:rFonts w:ascii="Calibri" w:eastAsia="Arial" w:hAnsi="Calibri" w:cs="Calibri"/>
        </w:rPr>
      </w:pPr>
    </w:p>
    <w:p w14:paraId="6B4CD7C7" w14:textId="77777777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Recording</w:t>
      </w:r>
    </w:p>
    <w:p w14:paraId="7DFEE4F3" w14:textId="2E710B78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The society shall ensure that a record is kept of all written warnings. However, any disciplinary action taken (other than dismissal) shall be disregarded after a set </w:t>
      </w:r>
      <w:proofErr w:type="gramStart"/>
      <w:r w:rsidRPr="00BF15EE">
        <w:rPr>
          <w:rFonts w:ascii="Calibri" w:hAnsi="Calibri" w:cs="Calibri"/>
        </w:rPr>
        <w:t>period of time</w:t>
      </w:r>
      <w:proofErr w:type="gramEnd"/>
      <w:r w:rsidRPr="00BF15EE">
        <w:rPr>
          <w:rFonts w:ascii="Calibri" w:hAnsi="Calibri" w:cs="Calibri"/>
        </w:rPr>
        <w:t xml:space="preserve"> as outlined</w:t>
      </w:r>
      <w:r w:rsidR="00A803A5" w:rsidRPr="00BF15EE">
        <w:rPr>
          <w:rFonts w:ascii="Calibri" w:hAnsi="Calibri" w:cs="Calibri"/>
        </w:rPr>
        <w:t xml:space="preserve"> below</w:t>
      </w:r>
      <w:r w:rsidRPr="00BF15EE">
        <w:rPr>
          <w:rFonts w:ascii="Calibri" w:hAnsi="Calibri" w:cs="Calibri"/>
        </w:rPr>
        <w:t>:</w:t>
      </w:r>
    </w:p>
    <w:p w14:paraId="36A241A1" w14:textId="77777777" w:rsidR="00F81040" w:rsidRPr="00BF15EE" w:rsidRDefault="00F81040">
      <w:pPr>
        <w:pStyle w:val="Body"/>
        <w:spacing w:line="232" w:lineRule="exact"/>
        <w:ind w:left="1060"/>
        <w:rPr>
          <w:rFonts w:ascii="Calibri" w:eastAsia="Times New Roman" w:hAnsi="Calibri" w:cs="Calibri"/>
          <w:u w:color="000000"/>
        </w:rPr>
      </w:pPr>
    </w:p>
    <w:p w14:paraId="09BC8101" w14:textId="77777777" w:rsidR="00F81040" w:rsidRPr="00BF15EE" w:rsidRDefault="00000000">
      <w:pPr>
        <w:pStyle w:val="Body"/>
        <w:numPr>
          <w:ilvl w:val="0"/>
          <w:numId w:val="4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Warnings for minor offences will be valid for up to six months.</w:t>
      </w:r>
    </w:p>
    <w:p w14:paraId="1FADA9BB" w14:textId="77777777" w:rsidR="00F81040" w:rsidRPr="00BF15EE" w:rsidRDefault="00F81040">
      <w:pPr>
        <w:pStyle w:val="Body"/>
        <w:spacing w:line="27" w:lineRule="exact"/>
        <w:ind w:left="1060"/>
        <w:rPr>
          <w:rFonts w:ascii="Calibri" w:eastAsia="Arial" w:hAnsi="Calibri" w:cs="Calibri"/>
          <w:color w:val="5EBB91"/>
          <w:u w:color="5EBB91"/>
        </w:rPr>
      </w:pPr>
    </w:p>
    <w:p w14:paraId="64551E68" w14:textId="77777777" w:rsidR="00F81040" w:rsidRPr="00BF15EE" w:rsidRDefault="00000000">
      <w:pPr>
        <w:pStyle w:val="Body"/>
        <w:numPr>
          <w:ilvl w:val="0"/>
          <w:numId w:val="4"/>
        </w:numPr>
        <w:rPr>
          <w:rFonts w:ascii="Calibri" w:hAnsi="Calibri" w:cs="Calibri"/>
          <w:color w:val="5EBB91"/>
          <w:u w:color="000000"/>
        </w:rPr>
      </w:pPr>
      <w:r w:rsidRPr="00BF15EE">
        <w:rPr>
          <w:rFonts w:ascii="Calibri" w:hAnsi="Calibri" w:cs="Calibri"/>
          <w:u w:color="000000"/>
        </w:rPr>
        <w:t>Final warnings will remain in force for 12 months.</w:t>
      </w:r>
    </w:p>
    <w:p w14:paraId="307C73D1" w14:textId="77777777" w:rsidR="00F81040" w:rsidRPr="00BF15EE" w:rsidRDefault="00F81040">
      <w:pPr>
        <w:pStyle w:val="Body"/>
        <w:spacing w:line="277" w:lineRule="auto"/>
        <w:ind w:left="1060" w:right="466"/>
        <w:rPr>
          <w:rFonts w:ascii="Calibri" w:eastAsia="Times New Roman" w:hAnsi="Calibri" w:cs="Calibri"/>
          <w:u w:color="5EBB91"/>
        </w:rPr>
      </w:pPr>
    </w:p>
    <w:p w14:paraId="3173F251" w14:textId="77777777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 xml:space="preserve">Once the time limits have been passed, warnings shall be disregarded in any further disciplinary proceedings. These records shall be kept confidential and retained in accordance </w:t>
      </w:r>
      <w:proofErr w:type="gramStart"/>
      <w:r w:rsidRPr="00BF15EE">
        <w:rPr>
          <w:rFonts w:ascii="Calibri" w:hAnsi="Calibri" w:cs="Calibri"/>
        </w:rPr>
        <w:t>of</w:t>
      </w:r>
      <w:proofErr w:type="gramEnd"/>
      <w:r w:rsidRPr="00BF15EE">
        <w:rPr>
          <w:rFonts w:ascii="Calibri" w:hAnsi="Calibri" w:cs="Calibri"/>
        </w:rPr>
        <w:t xml:space="preserve"> the disciplinary procedure and the Data Protection Act 1998, which requires the release of certain data to individuals on their request.</w:t>
      </w:r>
    </w:p>
    <w:p w14:paraId="4823DBA7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261F83A5" w14:textId="77777777" w:rsidR="00BF15EE" w:rsidRDefault="00BF15EE">
      <w:pPr>
        <w:pStyle w:val="Body"/>
        <w:rPr>
          <w:rFonts w:ascii="Calibri" w:hAnsi="Calibri" w:cs="Calibri"/>
          <w:b/>
          <w:bCs/>
        </w:rPr>
      </w:pPr>
    </w:p>
    <w:p w14:paraId="22AE616C" w14:textId="6519B41C" w:rsidR="00F81040" w:rsidRPr="00BF15EE" w:rsidRDefault="00000000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>Appeals</w:t>
      </w:r>
    </w:p>
    <w:p w14:paraId="16DC3837" w14:textId="41D1CA8B" w:rsidR="00F81040" w:rsidRPr="00BF15EE" w:rsidRDefault="00000000">
      <w:pPr>
        <w:pStyle w:val="Body"/>
        <w:rPr>
          <w:rFonts w:ascii="Calibri" w:hAnsi="Calibri" w:cs="Calibri"/>
        </w:rPr>
      </w:pPr>
      <w:r w:rsidRPr="00BF15EE">
        <w:rPr>
          <w:rFonts w:ascii="Calibri" w:hAnsi="Calibri" w:cs="Calibri"/>
        </w:rPr>
        <w:t>The opportunity to appeal against a disciplinary decision is essential to natural justice. Appeals will be dealt with as promptly as possible (wherever possible) within 14 days of receipt of the warning or dismissal.</w:t>
      </w:r>
    </w:p>
    <w:p w14:paraId="28540912" w14:textId="77777777" w:rsidR="00A803A5" w:rsidRPr="00BF15EE" w:rsidRDefault="00A803A5">
      <w:pPr>
        <w:pStyle w:val="Body"/>
        <w:rPr>
          <w:rFonts w:ascii="Calibri" w:eastAsia="Arial" w:hAnsi="Calibri" w:cs="Calibri"/>
        </w:rPr>
      </w:pPr>
    </w:p>
    <w:p w14:paraId="19655081" w14:textId="2D8A7645" w:rsidR="00F81040" w:rsidRPr="00BF15EE" w:rsidRDefault="00000000">
      <w:pPr>
        <w:pStyle w:val="Body"/>
        <w:rPr>
          <w:rFonts w:ascii="Calibri" w:eastAsia="Arial" w:hAnsi="Calibri" w:cs="Calibri"/>
        </w:rPr>
      </w:pPr>
      <w:r w:rsidRPr="00BF15EE">
        <w:rPr>
          <w:rFonts w:ascii="Calibri" w:hAnsi="Calibri" w:cs="Calibri"/>
        </w:rPr>
        <w:t>Individuals will be informed of arrangements for appeal hearings</w:t>
      </w:r>
      <w:r w:rsidR="00A803A5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including details of the appeal panel</w:t>
      </w:r>
      <w:r w:rsidR="00A803A5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</w:t>
      </w:r>
      <w:proofErr w:type="gramStart"/>
      <w:r w:rsidRPr="00BF15EE">
        <w:rPr>
          <w:rFonts w:ascii="Calibri" w:hAnsi="Calibri" w:cs="Calibri"/>
        </w:rPr>
        <w:t>and also</w:t>
      </w:r>
      <w:proofErr w:type="gramEnd"/>
      <w:r w:rsidRPr="00BF15EE">
        <w:rPr>
          <w:rFonts w:ascii="Calibri" w:hAnsi="Calibri" w:cs="Calibri"/>
        </w:rPr>
        <w:t xml:space="preserve"> of their right to be accompanied</w:t>
      </w:r>
      <w:r w:rsidR="00A803A5" w:rsidRPr="00BF15EE">
        <w:rPr>
          <w:rFonts w:ascii="Calibri" w:hAnsi="Calibri" w:cs="Calibri"/>
        </w:rPr>
        <w:t xml:space="preserve"> during this hearing</w:t>
      </w:r>
      <w:r w:rsidRPr="00BF15EE">
        <w:rPr>
          <w:rFonts w:ascii="Calibri" w:hAnsi="Calibri" w:cs="Calibri"/>
        </w:rPr>
        <w:t>. The individual will be informed of the result of the hearing as soon as possible</w:t>
      </w:r>
      <w:r w:rsidR="00A803A5" w:rsidRPr="00BF15EE">
        <w:rPr>
          <w:rFonts w:ascii="Calibri" w:hAnsi="Calibri" w:cs="Calibri"/>
        </w:rPr>
        <w:t>,</w:t>
      </w:r>
      <w:r w:rsidRPr="00BF15EE">
        <w:rPr>
          <w:rFonts w:ascii="Calibri" w:hAnsi="Calibri" w:cs="Calibri"/>
        </w:rPr>
        <w:t xml:space="preserve"> and this will be confirmed in writing.</w:t>
      </w:r>
    </w:p>
    <w:p w14:paraId="5ECE1304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22BC7C76" w14:textId="77777777" w:rsidR="00F81040" w:rsidRPr="00BF15EE" w:rsidRDefault="00F81040">
      <w:pPr>
        <w:pStyle w:val="Body"/>
        <w:rPr>
          <w:rFonts w:ascii="Calibri" w:eastAsia="Arial" w:hAnsi="Calibri" w:cs="Calibri"/>
        </w:rPr>
      </w:pPr>
    </w:p>
    <w:p w14:paraId="1ADD5D05" w14:textId="77777777" w:rsidR="00484173" w:rsidRPr="00BF15EE" w:rsidRDefault="00484173" w:rsidP="00484173">
      <w:pPr>
        <w:pStyle w:val="Body"/>
        <w:rPr>
          <w:rFonts w:ascii="Calibri" w:hAnsi="Calibri" w:cs="Calibri"/>
          <w:lang w:val="de-DE"/>
        </w:rPr>
      </w:pPr>
      <w:r w:rsidRPr="00BF15EE">
        <w:rPr>
          <w:rFonts w:ascii="Calibri" w:hAnsi="Calibri" w:cs="Calibri"/>
          <w:lang w:val="de-DE"/>
        </w:rPr>
        <w:t>Policy to be renewed annually.</w:t>
      </w:r>
    </w:p>
    <w:p w14:paraId="39463D6B" w14:textId="43DDAB05" w:rsidR="00484173" w:rsidRPr="00BF15EE" w:rsidRDefault="00484173" w:rsidP="00484173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  <w:lang w:val="de-DE"/>
        </w:rPr>
        <w:t>Last review:</w:t>
      </w:r>
      <w:r w:rsidRPr="00BF15EE">
        <w:rPr>
          <w:rFonts w:ascii="Calibri" w:hAnsi="Calibri" w:cs="Calibri"/>
          <w:b/>
          <w:bCs/>
        </w:rPr>
        <w:t xml:space="preserve"> </w:t>
      </w:r>
      <w:r w:rsidR="00E95092">
        <w:rPr>
          <w:rFonts w:ascii="Calibri" w:hAnsi="Calibri" w:cs="Calibri"/>
          <w:b/>
          <w:bCs/>
        </w:rPr>
        <w:t>17</w:t>
      </w:r>
      <w:r w:rsidRPr="00BF15EE">
        <w:rPr>
          <w:rFonts w:ascii="Calibri" w:hAnsi="Calibri" w:cs="Calibri"/>
          <w:b/>
          <w:bCs/>
        </w:rPr>
        <w:t xml:space="preserve"> August 20</w:t>
      </w:r>
      <w:r w:rsidR="00C25142">
        <w:rPr>
          <w:rFonts w:ascii="Calibri" w:hAnsi="Calibri" w:cs="Calibri"/>
          <w:b/>
          <w:bCs/>
        </w:rPr>
        <w:t>2</w:t>
      </w:r>
      <w:r w:rsidR="00E95092">
        <w:rPr>
          <w:rFonts w:ascii="Calibri" w:hAnsi="Calibri" w:cs="Calibri"/>
          <w:b/>
          <w:bCs/>
        </w:rPr>
        <w:t>5</w:t>
      </w:r>
    </w:p>
    <w:p w14:paraId="56AEF8FA" w14:textId="06232175" w:rsidR="00484173" w:rsidRPr="00BF15EE" w:rsidRDefault="00484173" w:rsidP="00484173">
      <w:pPr>
        <w:pStyle w:val="Body"/>
        <w:rPr>
          <w:rFonts w:ascii="Calibri" w:eastAsia="Arial" w:hAnsi="Calibri" w:cs="Calibri"/>
          <w:b/>
          <w:bCs/>
        </w:rPr>
      </w:pPr>
      <w:r w:rsidRPr="00BF15EE">
        <w:rPr>
          <w:rFonts w:ascii="Calibri" w:hAnsi="Calibri" w:cs="Calibri"/>
          <w:b/>
          <w:bCs/>
        </w:rPr>
        <w:t xml:space="preserve">Next review: </w:t>
      </w:r>
      <w:r w:rsidR="00E95092">
        <w:rPr>
          <w:rFonts w:ascii="Calibri" w:hAnsi="Calibri" w:cs="Calibri"/>
          <w:b/>
          <w:bCs/>
        </w:rPr>
        <w:t>16</w:t>
      </w:r>
      <w:r w:rsidRPr="00BF15EE">
        <w:rPr>
          <w:rFonts w:ascii="Calibri" w:hAnsi="Calibri" w:cs="Calibri"/>
          <w:b/>
          <w:bCs/>
        </w:rPr>
        <w:t xml:space="preserve"> August 202</w:t>
      </w:r>
      <w:r w:rsidR="00E95092">
        <w:rPr>
          <w:rFonts w:ascii="Calibri" w:hAnsi="Calibri" w:cs="Calibri"/>
          <w:b/>
          <w:bCs/>
        </w:rPr>
        <w:t>6</w:t>
      </w:r>
    </w:p>
    <w:p w14:paraId="6CC26EE7" w14:textId="33E7F73B" w:rsidR="00F81040" w:rsidRPr="00BF15EE" w:rsidRDefault="00F81040" w:rsidP="00484173">
      <w:pPr>
        <w:pStyle w:val="Body"/>
        <w:rPr>
          <w:rFonts w:ascii="Calibri" w:hAnsi="Calibri" w:cs="Calibri"/>
        </w:rPr>
      </w:pPr>
    </w:p>
    <w:p w14:paraId="650454D1" w14:textId="7236D394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3C5FC60F" w14:textId="413DF980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01998B5B" w14:textId="7A83CC17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2D398ABD" w14:textId="138C47C2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2C76C664" w14:textId="63A5B2C8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66C8954B" w14:textId="38145B01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7FF3F965" w14:textId="4DB39532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7D6F8297" w14:textId="39F1DC7B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4C02C3F4" w14:textId="77777777" w:rsidR="00A34DF9" w:rsidRPr="00BF15EE" w:rsidRDefault="00A34DF9" w:rsidP="00484173">
      <w:pPr>
        <w:pStyle w:val="Body"/>
        <w:rPr>
          <w:rFonts w:ascii="Calibri" w:hAnsi="Calibri" w:cs="Calibri"/>
        </w:rPr>
      </w:pPr>
    </w:p>
    <w:p w14:paraId="479E0287" w14:textId="13D3CB5D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3F2D6BDA" w14:textId="4C8F6575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34341C7C" w14:textId="4E3598DD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79362BA0" w14:textId="2E34950F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324724B6" w14:textId="6E581FCC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45C8D277" w14:textId="443EF4B9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3E3F40B6" w14:textId="1BA2685A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4089FD31" w14:textId="08C318FF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5C61E409" w14:textId="327611C0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7693BC7A" w14:textId="1CB28A56" w:rsidR="00A803A5" w:rsidRPr="00BF15EE" w:rsidRDefault="00A803A5" w:rsidP="00484173">
      <w:pPr>
        <w:pStyle w:val="Body"/>
        <w:rPr>
          <w:rFonts w:ascii="Calibri" w:hAnsi="Calibri" w:cs="Calibri"/>
        </w:rPr>
      </w:pPr>
    </w:p>
    <w:p w14:paraId="0E46B6D4" w14:textId="48A8308C" w:rsidR="00A803A5" w:rsidRPr="00BF15EE" w:rsidRDefault="00A803A5" w:rsidP="00A803A5">
      <w:pPr>
        <w:jc w:val="center"/>
        <w:rPr>
          <w:rFonts w:ascii="Calibri" w:hAnsi="Calibri" w:cs="Calibri"/>
          <w:sz w:val="22"/>
          <w:szCs w:val="22"/>
        </w:rPr>
      </w:pPr>
      <w:r w:rsidRPr="00BF15EE">
        <w:rPr>
          <w:rFonts w:ascii="Calibri" w:hAnsi="Calibri" w:cs="Calibri"/>
          <w:sz w:val="22"/>
          <w:szCs w:val="22"/>
        </w:rPr>
        <w:t>(LPOS Disciplinary &amp; Grievance Procedure: August 202</w:t>
      </w:r>
      <w:r w:rsidR="00E95092">
        <w:rPr>
          <w:rFonts w:ascii="Calibri" w:hAnsi="Calibri" w:cs="Calibri"/>
          <w:sz w:val="22"/>
          <w:szCs w:val="22"/>
        </w:rPr>
        <w:t>5</w:t>
      </w:r>
      <w:r w:rsidRPr="00BF15EE">
        <w:rPr>
          <w:rFonts w:ascii="Calibri" w:hAnsi="Calibri" w:cs="Calibri"/>
          <w:sz w:val="22"/>
          <w:szCs w:val="22"/>
        </w:rPr>
        <w:t>)</w:t>
      </w:r>
    </w:p>
    <w:p w14:paraId="0871BC05" w14:textId="33E6E3FC" w:rsidR="00A803A5" w:rsidRPr="00BF15EE" w:rsidRDefault="00A803A5" w:rsidP="005172BB">
      <w:pPr>
        <w:jc w:val="center"/>
        <w:rPr>
          <w:rFonts w:ascii="Calibri" w:hAnsi="Calibri" w:cs="Calibri"/>
          <w:sz w:val="22"/>
          <w:szCs w:val="22"/>
        </w:rPr>
      </w:pPr>
      <w:r w:rsidRPr="00BF15EE">
        <w:rPr>
          <w:rFonts w:ascii="Calibri" w:hAnsi="Calibri" w:cs="Calibri"/>
          <w:sz w:val="22"/>
          <w:szCs w:val="22"/>
        </w:rPr>
        <w:t>Page 3</w:t>
      </w:r>
    </w:p>
    <w:sectPr w:rsidR="00A803A5" w:rsidRPr="00BF15EE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6268" w14:textId="77777777" w:rsidR="00E027D7" w:rsidRDefault="00E027D7">
      <w:r>
        <w:separator/>
      </w:r>
    </w:p>
  </w:endnote>
  <w:endnote w:type="continuationSeparator" w:id="0">
    <w:p w14:paraId="07804089" w14:textId="77777777" w:rsidR="00E027D7" w:rsidRDefault="00E0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20AE" w14:textId="4270C1F8" w:rsidR="00F81040" w:rsidRDefault="00F81040" w:rsidP="00A34DF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5534" w14:textId="77777777" w:rsidR="00E027D7" w:rsidRDefault="00E027D7">
      <w:r>
        <w:separator/>
      </w:r>
    </w:p>
  </w:footnote>
  <w:footnote w:type="continuationSeparator" w:id="0">
    <w:p w14:paraId="7916700C" w14:textId="77777777" w:rsidR="00E027D7" w:rsidRDefault="00E02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A42"/>
    <w:multiLevelType w:val="hybridMultilevel"/>
    <w:tmpl w:val="416AF916"/>
    <w:numStyleLink w:val="ImportedStyle4"/>
  </w:abstractNum>
  <w:abstractNum w:abstractNumId="1" w15:restartNumberingAfterBreak="0">
    <w:nsid w:val="1786249D"/>
    <w:multiLevelType w:val="hybridMultilevel"/>
    <w:tmpl w:val="863C0E84"/>
    <w:styleLink w:val="ImportedStyle3"/>
    <w:lvl w:ilvl="0" w:tplc="2C203084">
      <w:start w:val="1"/>
      <w:numFmt w:val="bullet"/>
      <w:lvlText w:val="•"/>
      <w:lvlJc w:val="left"/>
      <w:pPr>
        <w:tabs>
          <w:tab w:val="left" w:pos="540"/>
          <w:tab w:val="num" w:pos="1440"/>
        </w:tabs>
        <w:ind w:left="10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E294DE">
      <w:start w:val="1"/>
      <w:numFmt w:val="bullet"/>
      <w:lvlText w:val="•"/>
      <w:lvlJc w:val="left"/>
      <w:pPr>
        <w:tabs>
          <w:tab w:val="left" w:pos="540"/>
          <w:tab w:val="num" w:pos="1480"/>
        </w:tabs>
        <w:ind w:left="11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E0A1A">
      <w:start w:val="1"/>
      <w:numFmt w:val="bullet"/>
      <w:lvlText w:val="•"/>
      <w:lvlJc w:val="left"/>
      <w:pPr>
        <w:tabs>
          <w:tab w:val="left" w:pos="540"/>
          <w:tab w:val="num" w:pos="2200"/>
        </w:tabs>
        <w:ind w:left="18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FEF406">
      <w:start w:val="1"/>
      <w:numFmt w:val="bullet"/>
      <w:lvlText w:val="•"/>
      <w:lvlJc w:val="left"/>
      <w:pPr>
        <w:tabs>
          <w:tab w:val="left" w:pos="540"/>
          <w:tab w:val="num" w:pos="2920"/>
        </w:tabs>
        <w:ind w:left="25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63D2">
      <w:start w:val="1"/>
      <w:numFmt w:val="bullet"/>
      <w:lvlText w:val="•"/>
      <w:lvlJc w:val="left"/>
      <w:pPr>
        <w:tabs>
          <w:tab w:val="left" w:pos="540"/>
          <w:tab w:val="num" w:pos="3640"/>
        </w:tabs>
        <w:ind w:left="32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C6139A">
      <w:start w:val="1"/>
      <w:numFmt w:val="bullet"/>
      <w:lvlText w:val="•"/>
      <w:lvlJc w:val="left"/>
      <w:pPr>
        <w:tabs>
          <w:tab w:val="left" w:pos="540"/>
          <w:tab w:val="num" w:pos="4360"/>
        </w:tabs>
        <w:ind w:left="39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3E951E">
      <w:start w:val="1"/>
      <w:numFmt w:val="bullet"/>
      <w:lvlText w:val="•"/>
      <w:lvlJc w:val="left"/>
      <w:pPr>
        <w:tabs>
          <w:tab w:val="left" w:pos="540"/>
          <w:tab w:val="num" w:pos="5080"/>
        </w:tabs>
        <w:ind w:left="47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0F568">
      <w:start w:val="1"/>
      <w:numFmt w:val="bullet"/>
      <w:lvlText w:val="•"/>
      <w:lvlJc w:val="left"/>
      <w:pPr>
        <w:tabs>
          <w:tab w:val="left" w:pos="540"/>
          <w:tab w:val="num" w:pos="5800"/>
        </w:tabs>
        <w:ind w:left="5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80776">
      <w:start w:val="1"/>
      <w:numFmt w:val="bullet"/>
      <w:lvlText w:val="•"/>
      <w:lvlJc w:val="left"/>
      <w:pPr>
        <w:tabs>
          <w:tab w:val="left" w:pos="540"/>
          <w:tab w:val="num" w:pos="6520"/>
        </w:tabs>
        <w:ind w:left="61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DA33DA"/>
    <w:multiLevelType w:val="hybridMultilevel"/>
    <w:tmpl w:val="863C0E84"/>
    <w:numStyleLink w:val="ImportedStyle3"/>
  </w:abstractNum>
  <w:abstractNum w:abstractNumId="3" w15:restartNumberingAfterBreak="0">
    <w:nsid w:val="77A30C7C"/>
    <w:multiLevelType w:val="hybridMultilevel"/>
    <w:tmpl w:val="416AF916"/>
    <w:styleLink w:val="ImportedStyle4"/>
    <w:lvl w:ilvl="0" w:tplc="69AC6D70">
      <w:start w:val="1"/>
      <w:numFmt w:val="bullet"/>
      <w:lvlText w:val="•"/>
      <w:lvlJc w:val="left"/>
      <w:pPr>
        <w:tabs>
          <w:tab w:val="left" w:pos="540"/>
          <w:tab w:val="num" w:pos="1440"/>
        </w:tabs>
        <w:ind w:left="10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450C0">
      <w:start w:val="1"/>
      <w:numFmt w:val="bullet"/>
      <w:lvlText w:val="•"/>
      <w:lvlJc w:val="left"/>
      <w:pPr>
        <w:tabs>
          <w:tab w:val="left" w:pos="540"/>
          <w:tab w:val="num" w:pos="1480"/>
        </w:tabs>
        <w:ind w:left="11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1EADA2">
      <w:start w:val="1"/>
      <w:numFmt w:val="bullet"/>
      <w:lvlText w:val="•"/>
      <w:lvlJc w:val="left"/>
      <w:pPr>
        <w:tabs>
          <w:tab w:val="left" w:pos="540"/>
          <w:tab w:val="num" w:pos="2200"/>
        </w:tabs>
        <w:ind w:left="18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0CAAEC">
      <w:start w:val="1"/>
      <w:numFmt w:val="bullet"/>
      <w:lvlText w:val="•"/>
      <w:lvlJc w:val="left"/>
      <w:pPr>
        <w:tabs>
          <w:tab w:val="left" w:pos="540"/>
          <w:tab w:val="num" w:pos="2920"/>
        </w:tabs>
        <w:ind w:left="25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AAFADC">
      <w:start w:val="1"/>
      <w:numFmt w:val="bullet"/>
      <w:lvlText w:val="•"/>
      <w:lvlJc w:val="left"/>
      <w:pPr>
        <w:tabs>
          <w:tab w:val="left" w:pos="540"/>
          <w:tab w:val="num" w:pos="3640"/>
        </w:tabs>
        <w:ind w:left="32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60508">
      <w:start w:val="1"/>
      <w:numFmt w:val="bullet"/>
      <w:lvlText w:val="•"/>
      <w:lvlJc w:val="left"/>
      <w:pPr>
        <w:tabs>
          <w:tab w:val="left" w:pos="540"/>
          <w:tab w:val="num" w:pos="4360"/>
        </w:tabs>
        <w:ind w:left="39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E4D82">
      <w:start w:val="1"/>
      <w:numFmt w:val="bullet"/>
      <w:lvlText w:val="•"/>
      <w:lvlJc w:val="left"/>
      <w:pPr>
        <w:tabs>
          <w:tab w:val="left" w:pos="540"/>
          <w:tab w:val="num" w:pos="5080"/>
        </w:tabs>
        <w:ind w:left="47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A6C79E">
      <w:start w:val="1"/>
      <w:numFmt w:val="bullet"/>
      <w:lvlText w:val="•"/>
      <w:lvlJc w:val="left"/>
      <w:pPr>
        <w:tabs>
          <w:tab w:val="left" w:pos="540"/>
          <w:tab w:val="num" w:pos="5800"/>
        </w:tabs>
        <w:ind w:left="5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02532A">
      <w:start w:val="1"/>
      <w:numFmt w:val="bullet"/>
      <w:lvlText w:val="•"/>
      <w:lvlJc w:val="left"/>
      <w:pPr>
        <w:tabs>
          <w:tab w:val="left" w:pos="540"/>
          <w:tab w:val="num" w:pos="6520"/>
        </w:tabs>
        <w:ind w:left="61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8602212">
    <w:abstractNumId w:val="1"/>
  </w:num>
  <w:num w:numId="2" w16cid:durableId="594677946">
    <w:abstractNumId w:val="2"/>
  </w:num>
  <w:num w:numId="3" w16cid:durableId="1981836023">
    <w:abstractNumId w:val="3"/>
  </w:num>
  <w:num w:numId="4" w16cid:durableId="159609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40"/>
    <w:rsid w:val="000310F8"/>
    <w:rsid w:val="00381E27"/>
    <w:rsid w:val="00394B4F"/>
    <w:rsid w:val="0041644F"/>
    <w:rsid w:val="00484173"/>
    <w:rsid w:val="00494EA0"/>
    <w:rsid w:val="004B2094"/>
    <w:rsid w:val="005172BB"/>
    <w:rsid w:val="00533CA1"/>
    <w:rsid w:val="005C24C8"/>
    <w:rsid w:val="006E0E0C"/>
    <w:rsid w:val="00700176"/>
    <w:rsid w:val="00702B91"/>
    <w:rsid w:val="00800E26"/>
    <w:rsid w:val="0082467F"/>
    <w:rsid w:val="008D0E0F"/>
    <w:rsid w:val="009C69CF"/>
    <w:rsid w:val="00A34DF9"/>
    <w:rsid w:val="00A803A5"/>
    <w:rsid w:val="00AF67DD"/>
    <w:rsid w:val="00B77586"/>
    <w:rsid w:val="00BC6207"/>
    <w:rsid w:val="00BF15EE"/>
    <w:rsid w:val="00C25142"/>
    <w:rsid w:val="00C27FED"/>
    <w:rsid w:val="00C8526C"/>
    <w:rsid w:val="00E027D7"/>
    <w:rsid w:val="00E11F1B"/>
    <w:rsid w:val="00E82756"/>
    <w:rsid w:val="00E95092"/>
    <w:rsid w:val="00EB5E1D"/>
    <w:rsid w:val="00F81040"/>
    <w:rsid w:val="00F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5CB0"/>
  <w15:docId w15:val="{4AF8CB98-D84B-426E-A03D-AB0F2E21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4">
    <w:name w:val="Imported Style 4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34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4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Wickens</cp:lastModifiedBy>
  <cp:revision>2</cp:revision>
  <dcterms:created xsi:type="dcterms:W3CDTF">2025-08-17T15:40:00Z</dcterms:created>
  <dcterms:modified xsi:type="dcterms:W3CDTF">2025-08-17T15:40:00Z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2023-11-30T09:56:56Z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7b92806e-cdf5-46ba-b7db-99d9ac5dedf3</vt:lpwstr>
  </property>
  <property fmtid="{D5CDD505-2E9C-101B-9397-08002B2CF9AE}" pid="8" name="MSIP_Label_1384b6f1-2a55-4aeb-ad8e-a7fb5468eb36_ContentBits">
    <vt:lpwstr>0</vt:lpwstr>
  </property>
</Properties>
</file>